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86" w:type="dxa"/>
        <w:tblLook w:val="01E0"/>
      </w:tblPr>
      <w:tblGrid>
        <w:gridCol w:w="3438"/>
        <w:gridCol w:w="5448"/>
      </w:tblGrid>
      <w:tr w:rsidR="00F129DA" w:rsidRPr="00F129DA" w:rsidTr="00607BAA">
        <w:tc>
          <w:tcPr>
            <w:tcW w:w="3438" w:type="dxa"/>
          </w:tcPr>
          <w:p w:rsidR="00F129DA" w:rsidRPr="00F129DA" w:rsidRDefault="00F129DA" w:rsidP="00F129DA">
            <w:pPr>
              <w:spacing w:after="120"/>
              <w:jc w:val="center"/>
              <w:rPr>
                <w:rFonts w:ascii="Times New Roman" w:hAnsi="Times New Roman" w:cs="Times New Roman"/>
                <w:sz w:val="24"/>
              </w:rPr>
            </w:pPr>
            <w:r w:rsidRPr="00F129DA">
              <w:rPr>
                <w:rFonts w:ascii="Times New Roman" w:hAnsi="Times New Roman" w:cs="Times New Roman"/>
                <w:b/>
                <w:sz w:val="24"/>
              </w:rPr>
              <w:t xml:space="preserve">BỘ KẾ HOẠCH VÀ ĐẦU TƯ  </w:t>
            </w:r>
            <w:r w:rsidRPr="00F129DA">
              <w:rPr>
                <w:rFonts w:ascii="Times New Roman" w:hAnsi="Times New Roman" w:cs="Times New Roman"/>
                <w:b/>
                <w:sz w:val="24"/>
              </w:rPr>
              <w:br/>
              <w:t>-------</w:t>
            </w:r>
          </w:p>
        </w:tc>
        <w:tc>
          <w:tcPr>
            <w:tcW w:w="5448" w:type="dxa"/>
          </w:tcPr>
          <w:p w:rsidR="00F129DA" w:rsidRPr="00F129DA" w:rsidRDefault="00F129DA" w:rsidP="00F129DA">
            <w:pPr>
              <w:spacing w:after="120"/>
              <w:jc w:val="center"/>
              <w:rPr>
                <w:rFonts w:ascii="Times New Roman" w:hAnsi="Times New Roman" w:cs="Times New Roman"/>
                <w:b/>
                <w:sz w:val="24"/>
              </w:rPr>
            </w:pPr>
            <w:r w:rsidRPr="00F129DA">
              <w:rPr>
                <w:rFonts w:ascii="Times New Roman" w:hAnsi="Times New Roman" w:cs="Times New Roman"/>
                <w:b/>
                <w:sz w:val="24"/>
              </w:rPr>
              <w:t>CỘNG HÒA XÃ HỘI CHỦ NGHĨA VIỆT NAM</w:t>
            </w:r>
            <w:r w:rsidRPr="00F129DA">
              <w:rPr>
                <w:rFonts w:ascii="Times New Roman" w:hAnsi="Times New Roman" w:cs="Times New Roman"/>
                <w:b/>
                <w:sz w:val="24"/>
              </w:rPr>
              <w:br/>
              <w:t>Độc lập – Tự do – Hạnh phúc</w:t>
            </w:r>
            <w:r w:rsidRPr="00F129DA">
              <w:rPr>
                <w:rFonts w:ascii="Times New Roman" w:hAnsi="Times New Roman" w:cs="Times New Roman"/>
                <w:b/>
                <w:sz w:val="24"/>
              </w:rPr>
              <w:br/>
              <w:t>--------------</w:t>
            </w:r>
          </w:p>
        </w:tc>
      </w:tr>
      <w:tr w:rsidR="00F129DA" w:rsidRPr="00F129DA" w:rsidTr="00607BAA">
        <w:tc>
          <w:tcPr>
            <w:tcW w:w="3438" w:type="dxa"/>
          </w:tcPr>
          <w:p w:rsidR="00F129DA" w:rsidRPr="00F129DA" w:rsidRDefault="00F129DA" w:rsidP="00F129DA">
            <w:pPr>
              <w:spacing w:after="120"/>
              <w:jc w:val="center"/>
              <w:rPr>
                <w:rFonts w:ascii="Times New Roman" w:hAnsi="Times New Roman" w:cs="Times New Roman"/>
                <w:i/>
                <w:sz w:val="24"/>
              </w:rPr>
            </w:pPr>
            <w:r w:rsidRPr="00F129DA">
              <w:rPr>
                <w:rFonts w:ascii="Times New Roman" w:hAnsi="Times New Roman" w:cs="Times New Roman"/>
                <w:sz w:val="24"/>
              </w:rPr>
              <w:t>Số: 02/2010/TT-BKH</w:t>
            </w:r>
          </w:p>
        </w:tc>
        <w:tc>
          <w:tcPr>
            <w:tcW w:w="5448" w:type="dxa"/>
          </w:tcPr>
          <w:p w:rsidR="00F129DA" w:rsidRPr="00F129DA" w:rsidRDefault="00F129DA" w:rsidP="00F129DA">
            <w:pPr>
              <w:spacing w:after="120"/>
              <w:jc w:val="center"/>
              <w:rPr>
                <w:rFonts w:ascii="Times New Roman" w:hAnsi="Times New Roman" w:cs="Times New Roman"/>
                <w:i/>
                <w:sz w:val="24"/>
              </w:rPr>
            </w:pPr>
            <w:r w:rsidRPr="00F129DA">
              <w:rPr>
                <w:rFonts w:ascii="Times New Roman" w:hAnsi="Times New Roman" w:cs="Times New Roman"/>
                <w:i/>
                <w:sz w:val="24"/>
              </w:rPr>
              <w:t>Hà Nội, ngày 19 tháng 01 năm 2010</w:t>
            </w:r>
          </w:p>
        </w:tc>
      </w:tr>
    </w:tbl>
    <w:p w:rsidR="00306814" w:rsidRDefault="00306814" w:rsidP="00F129DA">
      <w:pPr>
        <w:spacing w:after="120"/>
        <w:jc w:val="center"/>
        <w:rPr>
          <w:rFonts w:ascii="Times New Roman" w:hAnsi="Times New Roman" w:cs="Times New Roman"/>
          <w:b/>
          <w:sz w:val="24"/>
        </w:rPr>
      </w:pPr>
    </w:p>
    <w:p w:rsidR="00F129DA" w:rsidRPr="00F129DA" w:rsidRDefault="00F129DA" w:rsidP="00F129DA">
      <w:pPr>
        <w:spacing w:after="120"/>
        <w:jc w:val="center"/>
        <w:rPr>
          <w:rFonts w:ascii="Times New Roman" w:hAnsi="Times New Roman" w:cs="Times New Roman"/>
          <w:b/>
          <w:sz w:val="24"/>
        </w:rPr>
      </w:pPr>
      <w:r w:rsidRPr="00F129DA">
        <w:rPr>
          <w:rFonts w:ascii="Times New Roman" w:hAnsi="Times New Roman" w:cs="Times New Roman"/>
          <w:b/>
          <w:sz w:val="24"/>
        </w:rPr>
        <w:t>THÔNG TƯ</w:t>
      </w:r>
    </w:p>
    <w:p w:rsidR="00F129DA" w:rsidRPr="00F129DA" w:rsidRDefault="00F129DA" w:rsidP="00F129DA">
      <w:pPr>
        <w:spacing w:after="120"/>
        <w:jc w:val="center"/>
        <w:rPr>
          <w:rFonts w:ascii="Times New Roman" w:hAnsi="Times New Roman" w:cs="Times New Roman"/>
          <w:sz w:val="24"/>
        </w:rPr>
      </w:pPr>
      <w:r w:rsidRPr="00F129DA">
        <w:rPr>
          <w:rFonts w:ascii="Times New Roman" w:hAnsi="Times New Roman" w:cs="Times New Roman"/>
          <w:sz w:val="24"/>
        </w:rPr>
        <w:t>QUY ĐỊNH CHI TIẾT LẬP HỒ SƠ MỜI THẦU GÓI THẦU XÂY LẮP QUY MÔ NHỎ</w:t>
      </w:r>
    </w:p>
    <w:p w:rsidR="00F129DA" w:rsidRPr="00F129DA" w:rsidRDefault="00F129DA" w:rsidP="00F129DA">
      <w:pPr>
        <w:spacing w:after="120"/>
        <w:rPr>
          <w:rFonts w:ascii="Times New Roman" w:hAnsi="Times New Roman" w:cs="Times New Roman"/>
          <w:i/>
          <w:sz w:val="24"/>
        </w:rPr>
      </w:pPr>
      <w:r w:rsidRPr="00F129DA">
        <w:rPr>
          <w:rFonts w:ascii="Times New Roman" w:hAnsi="Times New Roman" w:cs="Times New Roman"/>
          <w:i/>
          <w:sz w:val="24"/>
        </w:rPr>
        <w:t>Căn cứ Luật Đấu thầu số 61/2005/QH11 ngày 29 tháng 11 năm 2005;</w:t>
      </w:r>
      <w:r w:rsidRPr="00F129DA">
        <w:rPr>
          <w:rFonts w:ascii="Times New Roman" w:hAnsi="Times New Roman" w:cs="Times New Roman"/>
          <w:i/>
          <w:sz w:val="24"/>
        </w:rPr>
        <w:br/>
        <w:t>Căn cứ Luật sửa đổi, bổ sung một số điều của các luật liên quan đến đầu tư xây dựng cơ bản số 38/2009/QH12 ngày 19 tháng 6 năm 2009;</w:t>
      </w:r>
      <w:r w:rsidRPr="00F129DA">
        <w:rPr>
          <w:rFonts w:ascii="Times New Roman" w:hAnsi="Times New Roman" w:cs="Times New Roman"/>
          <w:i/>
          <w:sz w:val="24"/>
        </w:rPr>
        <w:br/>
        <w:t>Căn cứ Nghị định số 85/2009/NĐ-CP ngày 15 tháng 10 năm 2009 của Chính phủ về việc hướng dẫn thi hành Luật Đấu thầu và lựa chọn nhà thầu xây dựng theo Luật Xây dựng;</w:t>
      </w:r>
      <w:r w:rsidRPr="00F129DA">
        <w:rPr>
          <w:rFonts w:ascii="Times New Roman" w:hAnsi="Times New Roman" w:cs="Times New Roman"/>
          <w:i/>
          <w:sz w:val="24"/>
        </w:rPr>
        <w:br/>
        <w:t>Căn cứ Nghị định số 116/2008/NĐ-CP ngày 14 tháng 11 năm 2008 của Chính phủ quy định chức năng, nhiệm vụ, quyền hạn và cơ cấu tổ chức của Bộ Kế hoạch và Đầu tư;</w:t>
      </w:r>
      <w:r w:rsidRPr="00F129DA">
        <w:rPr>
          <w:rFonts w:ascii="Times New Roman" w:hAnsi="Times New Roman" w:cs="Times New Roman"/>
          <w:i/>
          <w:sz w:val="24"/>
        </w:rPr>
        <w:br/>
        <w:t>Bộ Kế hoạch và Đầu tư quy định chi tiết lập Hồ sơ mời thầu gói thầu xây lắp quy mô nhỏ như sau:</w:t>
      </w:r>
    </w:p>
    <w:p w:rsidR="00F129DA" w:rsidRPr="00F129DA" w:rsidRDefault="00F129DA" w:rsidP="00F129DA">
      <w:pPr>
        <w:spacing w:after="120"/>
        <w:jc w:val="both"/>
        <w:rPr>
          <w:rFonts w:ascii="Times New Roman" w:hAnsi="Times New Roman" w:cs="Times New Roman"/>
          <w:b/>
          <w:sz w:val="24"/>
        </w:rPr>
      </w:pPr>
      <w:r w:rsidRPr="00F129DA">
        <w:rPr>
          <w:rFonts w:ascii="Times New Roman" w:hAnsi="Times New Roman" w:cs="Times New Roman"/>
          <w:b/>
          <w:sz w:val="24"/>
        </w:rPr>
        <w:t xml:space="preserve">Điều 1. Phạm vi điều chỉnh và đối tượng áp dụng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1. Đối tượng áp dụng là tổ chức, cá nhân có trách nhiệm lập hồ sơ mời thầu đối với gói thầu xây lắp quy mô nhỏ có giá gói thầu không quá 8 tỷ đồng của các dự án thuộc phạm vi điều chỉnh của Luật Đấu thầu khi thực hiện hình thức đấu thầu rộng rãi, đấu thầu hạn chế trong nước. Trường hợp đấu thầu quốc tế đối với gói thầu xây lắp quy mô nhỏ thì có thể sửa đổi, bổ sung một số nội dung cho phù hợp trên cơ sở tham khảo các nội dung quy định trong Mẫu hồ sơ mời thầu xây lắp ban hành kèm theo Thông tư số 01/2010/TT-BKH ngày 06/01/2010 của Bộ Kế hoạch và Đầu tư.</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2. Đối với các gói thầu xây lắp quy mô nhỏ thuộc các dự án sử dụng vốn ODA, nếu được nhà tài trợ chấp thuận thì áp dụng theo Mẫu Hồ sơ mời thầu ban hành kèm theo Thông tư này hoặc có thể sửa đổi, bổ sung một số nội dung theo quy định về đấu thầu trong điều ước quốc tế mà Cộng hòa xã hội chủ nghĩa Việt Nam là thành viên hoặc thỏa thuận quốc tế mà cơ quan, tổ chức có thẩm quyền của Cộng hòa xã hội chủ nghĩa Việt Nam đã ký kết.</w:t>
      </w:r>
    </w:p>
    <w:p w:rsidR="00F129DA" w:rsidRPr="00F129DA" w:rsidRDefault="00F129DA" w:rsidP="00F129DA">
      <w:pPr>
        <w:spacing w:after="120"/>
        <w:jc w:val="both"/>
        <w:rPr>
          <w:rFonts w:ascii="Times New Roman" w:hAnsi="Times New Roman" w:cs="Times New Roman"/>
          <w:b/>
          <w:sz w:val="24"/>
        </w:rPr>
      </w:pPr>
      <w:r w:rsidRPr="00F129DA">
        <w:rPr>
          <w:rFonts w:ascii="Times New Roman" w:hAnsi="Times New Roman" w:cs="Times New Roman"/>
          <w:b/>
          <w:sz w:val="24"/>
        </w:rPr>
        <w:t>Điều 2. Mẫu Hồ sơ mời thầu gói thầu xây lắp quy mô nhỏ</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Mẫu Hồ sơ mời thầu gói thầu xây lắp quy mô nhỏ ban hành kèm theo Thông tư này bao gồm những nội dung cơ bản sau:</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Phần thứ nhất. Chỉ dẫn đối với nhà thầu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Chương I. Yêu cầu về thủ tục đấu thầu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Chương II. Tiêu chuẩn đánh giá hồ sơ dự thầu</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Chương III. Biểu mẫu dự thầu</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Phần thứ hai. Yêu cầu về xây lắp</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Chương IV. Giới thiệu dự án và gói thầu</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Chương V. Bảng tiên lượng</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Chương VI. Yêu cầu về tiến độ thực hiện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lastRenderedPageBreak/>
        <w:t xml:space="preserve">Chương VII. Yêu cầu về mặt kỹ thuật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Chương VIII. Các bản vẽ</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Phần thứ ba. Yêu cầu về hợp đồng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Chương IX. Điều kiện của hợp đồng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Chương X. Mẫu hợp đồng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Khi áp dụng Mẫu này, tổ chức, cá nhân lập hồ sơ mời thầu căn cứ vào quy mô, tính chất của gói thầu mà đưa ra các yêu cầu trên cơ sở đảm bảo nguyên tắc cạnh tranh, công bằng, minh bạch và hiệu quả kinh tế, không được đưa ra các điều kiện nhằm hạn chế sự tham gia của nhà thầu hoặc nhằm tạo lợi thế cho một hoặc một số nhà thầu gây ra sự cạnh tranh không bình đẳng.</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 xml:space="preserve">Trong Mẫu này, những chữ </w:t>
      </w:r>
      <w:r w:rsidRPr="00F129DA">
        <w:rPr>
          <w:rFonts w:ascii="Times New Roman" w:hAnsi="Times New Roman" w:cs="Times New Roman"/>
          <w:i/>
          <w:sz w:val="24"/>
        </w:rPr>
        <w:t xml:space="preserve">in nghiêng </w:t>
      </w:r>
      <w:r w:rsidRPr="00F129DA">
        <w:rPr>
          <w:rFonts w:ascii="Times New Roman" w:hAnsi="Times New Roman" w:cs="Times New Roman"/>
          <w:sz w:val="24"/>
        </w:rPr>
        <w:t>là nội dung mang tính hướng dẫn, minh họa và sẽ được người sử dụng cụ thể hóa căn cứ quy mô, tính chất của gói thầu. Trường hợp sửa đổi, bổ sung vào phần in đứng của Mẫu này thì tổ chức, cá nhân lập hồ sơ mời thầu phải giải trình bằng văn bản và đảm bảo không trái với các quy định của pháp luật về đấu thầu; chủ đầu tư phải chịu trách nhiệm trước pháp luật về nội dung sửa đổi, bổ sung.</w:t>
      </w:r>
    </w:p>
    <w:p w:rsidR="00F129DA" w:rsidRPr="00F129DA" w:rsidRDefault="00F129DA" w:rsidP="00F129DA">
      <w:pPr>
        <w:spacing w:after="120"/>
        <w:jc w:val="both"/>
        <w:rPr>
          <w:rFonts w:ascii="Times New Roman" w:hAnsi="Times New Roman" w:cs="Times New Roman"/>
          <w:b/>
          <w:sz w:val="24"/>
        </w:rPr>
      </w:pPr>
      <w:r w:rsidRPr="00F129DA">
        <w:rPr>
          <w:rFonts w:ascii="Times New Roman" w:hAnsi="Times New Roman" w:cs="Times New Roman"/>
          <w:b/>
          <w:sz w:val="24"/>
        </w:rPr>
        <w:t xml:space="preserve">Điều 3. Tổ chức thực hiện </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1. Thông tư này có hiệu lực thi hành kể từ ngày 15 tháng 3 năm 2010. Quyết định số 1744/2008/QĐ-BKH ngày 29 tháng 12 năm 2008 của Bộ Kế hoạch và Đầu tư ban hành Mẫu hồ sơ mời thầu gói thầu xây lắp quy mô nhỏ hết hiệu lực kể từ ngày Thông tư này có hiệu lực thi hành.</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2. Các Bộ, cơ quan ngan Bộ, cơ quan thuộc Chính phủ, cơ quan khác ở Trung ương, Ủy ban nhân dân các cấp và tổ chức, cá nhân có liên quan chịu trách nhiệm thi hành Thông tư này.</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Các Bộ, cơ quan ngang Bộ, cơ quan thuộc Chính phủ, cơ quan khác ở Trung ương, Ủy ban nhân dân cấp tỉnh trong phạm vi quản lý của mình hướng dẫn chi tiết một số nội dung của Thông tư này (nếu cần thiết) nhưng đảm bảo không trái với quy định của Thông tư này.</w:t>
      </w:r>
    </w:p>
    <w:p w:rsidR="00F129DA" w:rsidRPr="00F129DA" w:rsidRDefault="00F129DA" w:rsidP="00F129DA">
      <w:pPr>
        <w:spacing w:after="120"/>
        <w:jc w:val="both"/>
        <w:rPr>
          <w:rFonts w:ascii="Times New Roman" w:hAnsi="Times New Roman" w:cs="Times New Roman"/>
          <w:sz w:val="24"/>
        </w:rPr>
      </w:pPr>
      <w:r w:rsidRPr="00F129DA">
        <w:rPr>
          <w:rFonts w:ascii="Times New Roman" w:hAnsi="Times New Roman" w:cs="Times New Roman"/>
          <w:sz w:val="24"/>
        </w:rPr>
        <w:t>3.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xem xét, chỉnh lý.</w:t>
      </w:r>
    </w:p>
    <w:p w:rsidR="00F129DA" w:rsidRPr="00F129DA" w:rsidRDefault="00F129DA" w:rsidP="00F129DA">
      <w:pPr>
        <w:spacing w:after="120"/>
        <w:jc w:val="both"/>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F129DA" w:rsidRPr="00F129DA" w:rsidTr="00607BAA">
        <w:trPr>
          <w:trHeight w:val="3699"/>
        </w:trPr>
        <w:tc>
          <w:tcPr>
            <w:tcW w:w="4428" w:type="dxa"/>
          </w:tcPr>
          <w:p w:rsidR="00F129DA" w:rsidRPr="00F129DA" w:rsidRDefault="00F129DA" w:rsidP="00F129DA">
            <w:pPr>
              <w:spacing w:after="120"/>
              <w:jc w:val="both"/>
              <w:rPr>
                <w:rFonts w:ascii="Times New Roman" w:hAnsi="Times New Roman" w:cs="Times New Roman"/>
                <w:sz w:val="24"/>
              </w:rPr>
            </w:pPr>
          </w:p>
          <w:p w:rsidR="00F129DA" w:rsidRPr="00F129DA" w:rsidRDefault="00F129DA" w:rsidP="00F129DA">
            <w:pPr>
              <w:spacing w:after="120"/>
              <w:rPr>
                <w:rFonts w:ascii="Times New Roman" w:hAnsi="Times New Roman" w:cs="Times New Roman"/>
                <w:szCs w:val="20"/>
              </w:rPr>
            </w:pPr>
            <w:r w:rsidRPr="00F129DA">
              <w:rPr>
                <w:rFonts w:ascii="Times New Roman" w:hAnsi="Times New Roman" w:cs="Times New Roman"/>
                <w:b/>
                <w:i/>
                <w:szCs w:val="20"/>
              </w:rPr>
              <w:t>Nơi nhận:</w:t>
            </w:r>
            <w:r w:rsidRPr="00F129DA">
              <w:rPr>
                <w:rFonts w:ascii="Times New Roman" w:hAnsi="Times New Roman" w:cs="Times New Roman"/>
                <w:szCs w:val="20"/>
              </w:rPr>
              <w:br/>
              <w:t>- Các bộ, cơ quan ngang Bộ, cơ quan thuộc Chính phủ;</w:t>
            </w:r>
            <w:r w:rsidRPr="00F129DA">
              <w:rPr>
                <w:rFonts w:ascii="Times New Roman" w:hAnsi="Times New Roman" w:cs="Times New Roman"/>
                <w:szCs w:val="20"/>
              </w:rPr>
              <w:br/>
              <w:t>- VP BCĐTW về phòng, chống tham nhũng;</w:t>
            </w:r>
            <w:r w:rsidRPr="00F129DA">
              <w:rPr>
                <w:rFonts w:ascii="Times New Roman" w:hAnsi="Times New Roman" w:cs="Times New Roman"/>
                <w:szCs w:val="20"/>
              </w:rPr>
              <w:br/>
              <w:t>- HĐND, UBND các tỉnh, thành phố trực thuộc Trung ương;</w:t>
            </w:r>
            <w:r w:rsidRPr="00F129DA">
              <w:rPr>
                <w:rFonts w:ascii="Times New Roman" w:hAnsi="Times New Roman" w:cs="Times New Roman"/>
                <w:szCs w:val="20"/>
              </w:rPr>
              <w:br/>
              <w:t>- Văn phòng Trung ương và các Ban của Đảng;</w:t>
            </w:r>
            <w:r w:rsidRPr="00F129DA">
              <w:rPr>
                <w:rFonts w:ascii="Times New Roman" w:hAnsi="Times New Roman" w:cs="Times New Roman"/>
                <w:szCs w:val="20"/>
              </w:rPr>
              <w:br/>
              <w:t>- Văn phòng Chủ tịch nước;</w:t>
            </w:r>
            <w:r w:rsidRPr="00F129DA">
              <w:rPr>
                <w:rFonts w:ascii="Times New Roman" w:hAnsi="Times New Roman" w:cs="Times New Roman"/>
                <w:szCs w:val="20"/>
              </w:rPr>
              <w:br/>
              <w:t>- Hội đồng Dân tộc và các Ủy ban của Quốc hội;</w:t>
            </w:r>
            <w:r w:rsidRPr="00F129DA">
              <w:rPr>
                <w:rFonts w:ascii="Times New Roman" w:hAnsi="Times New Roman" w:cs="Times New Roman"/>
                <w:szCs w:val="20"/>
              </w:rPr>
              <w:br/>
              <w:t>- Văn phòng Quốc hội;</w:t>
            </w:r>
            <w:r w:rsidRPr="00F129DA">
              <w:rPr>
                <w:rFonts w:ascii="Times New Roman" w:hAnsi="Times New Roman" w:cs="Times New Roman"/>
                <w:szCs w:val="20"/>
              </w:rPr>
              <w:br/>
              <w:t>- Văn phòng Chính phủ;</w:t>
            </w:r>
            <w:r w:rsidRPr="00F129DA">
              <w:rPr>
                <w:rFonts w:ascii="Times New Roman" w:hAnsi="Times New Roman" w:cs="Times New Roman"/>
                <w:szCs w:val="20"/>
              </w:rPr>
              <w:br/>
              <w:t>- Tòa án nhân dân tối cao;</w:t>
            </w:r>
            <w:r w:rsidRPr="00F129DA">
              <w:rPr>
                <w:rFonts w:ascii="Times New Roman" w:hAnsi="Times New Roman" w:cs="Times New Roman"/>
                <w:szCs w:val="20"/>
              </w:rPr>
              <w:br/>
              <w:t xml:space="preserve">- Viện kiểm sát nhân dân tối cao </w:t>
            </w:r>
            <w:r w:rsidRPr="00F129DA">
              <w:rPr>
                <w:rFonts w:ascii="Times New Roman" w:hAnsi="Times New Roman" w:cs="Times New Roman"/>
                <w:szCs w:val="20"/>
              </w:rPr>
              <w:br/>
              <w:t>- Kiểm toán Nhà nước;</w:t>
            </w:r>
            <w:r w:rsidRPr="00F129DA">
              <w:rPr>
                <w:rFonts w:ascii="Times New Roman" w:hAnsi="Times New Roman" w:cs="Times New Roman"/>
                <w:szCs w:val="20"/>
              </w:rPr>
              <w:br/>
              <w:t>- Cơ quan Trung ương của các đoàn thể;</w:t>
            </w:r>
            <w:r w:rsidRPr="00F129DA">
              <w:rPr>
                <w:rFonts w:ascii="Times New Roman" w:hAnsi="Times New Roman" w:cs="Times New Roman"/>
                <w:szCs w:val="20"/>
              </w:rPr>
              <w:br/>
              <w:t xml:space="preserve">- Website của Chính phủ; Công báo; </w:t>
            </w:r>
            <w:r w:rsidRPr="00F129DA">
              <w:rPr>
                <w:rFonts w:ascii="Times New Roman" w:hAnsi="Times New Roman" w:cs="Times New Roman"/>
                <w:szCs w:val="20"/>
              </w:rPr>
              <w:br/>
              <w:t>- Các Sở KH&amp;ĐT các tỉnh, thành phố trực thuộc TW;</w:t>
            </w:r>
            <w:r w:rsidRPr="00F129DA">
              <w:rPr>
                <w:rFonts w:ascii="Times New Roman" w:hAnsi="Times New Roman" w:cs="Times New Roman"/>
                <w:szCs w:val="20"/>
              </w:rPr>
              <w:br/>
              <w:t>- Các đơn vị thuộc Bộ KH&amp;ĐT;</w:t>
            </w:r>
            <w:r w:rsidRPr="00F129DA">
              <w:rPr>
                <w:rFonts w:ascii="Times New Roman" w:hAnsi="Times New Roman" w:cs="Times New Roman"/>
                <w:szCs w:val="20"/>
              </w:rPr>
              <w:br/>
              <w:t>- Cục Kiểm tra văn bản – Bộ Tư pháp;</w:t>
            </w:r>
            <w:r w:rsidRPr="00F129DA">
              <w:rPr>
                <w:rFonts w:ascii="Times New Roman" w:hAnsi="Times New Roman" w:cs="Times New Roman"/>
                <w:szCs w:val="20"/>
              </w:rPr>
              <w:br/>
              <w:t>- Lưu: VT, Cục QLĐT (LA).</w:t>
            </w:r>
          </w:p>
        </w:tc>
        <w:tc>
          <w:tcPr>
            <w:tcW w:w="4428" w:type="dxa"/>
          </w:tcPr>
          <w:p w:rsidR="00F129DA" w:rsidRPr="00F129DA" w:rsidRDefault="00F129DA" w:rsidP="00F129DA">
            <w:pPr>
              <w:spacing w:after="120"/>
              <w:jc w:val="center"/>
              <w:rPr>
                <w:rFonts w:ascii="Times New Roman" w:hAnsi="Times New Roman" w:cs="Times New Roman"/>
                <w:b/>
                <w:sz w:val="24"/>
              </w:rPr>
            </w:pPr>
            <w:r w:rsidRPr="00F129DA">
              <w:rPr>
                <w:rFonts w:ascii="Times New Roman" w:hAnsi="Times New Roman" w:cs="Times New Roman"/>
                <w:b/>
                <w:sz w:val="24"/>
              </w:rPr>
              <w:t xml:space="preserve">BỘ TRƯỞNG </w:t>
            </w:r>
            <w:r w:rsidRPr="00F129DA">
              <w:rPr>
                <w:rFonts w:ascii="Times New Roman" w:hAnsi="Times New Roman" w:cs="Times New Roman"/>
                <w:b/>
                <w:sz w:val="24"/>
              </w:rPr>
              <w:br/>
            </w:r>
            <w:r w:rsidRPr="00F129DA">
              <w:rPr>
                <w:rFonts w:ascii="Times New Roman" w:hAnsi="Times New Roman" w:cs="Times New Roman"/>
                <w:b/>
                <w:sz w:val="24"/>
              </w:rPr>
              <w:br/>
            </w:r>
            <w:r w:rsidRPr="00F129DA">
              <w:rPr>
                <w:rFonts w:ascii="Times New Roman" w:hAnsi="Times New Roman" w:cs="Times New Roman"/>
                <w:b/>
                <w:sz w:val="24"/>
              </w:rPr>
              <w:br/>
            </w:r>
            <w:r w:rsidRPr="00F129DA">
              <w:rPr>
                <w:rFonts w:ascii="Times New Roman" w:hAnsi="Times New Roman" w:cs="Times New Roman"/>
                <w:b/>
                <w:sz w:val="24"/>
              </w:rPr>
              <w:br/>
            </w:r>
            <w:r w:rsidRPr="00F129DA">
              <w:rPr>
                <w:rFonts w:ascii="Times New Roman" w:hAnsi="Times New Roman" w:cs="Times New Roman"/>
                <w:b/>
                <w:sz w:val="24"/>
              </w:rPr>
              <w:br/>
              <w:t>Võ Hồng Phúc</w:t>
            </w:r>
          </w:p>
        </w:tc>
      </w:tr>
    </w:tbl>
    <w:p w:rsidR="00F129DA" w:rsidRPr="00F129DA" w:rsidRDefault="00F129DA" w:rsidP="00F129DA">
      <w:pPr>
        <w:spacing w:after="120"/>
        <w:jc w:val="both"/>
        <w:rPr>
          <w:rFonts w:ascii="Times New Roman" w:hAnsi="Times New Roman" w:cs="Times New Roman"/>
          <w:sz w:val="24"/>
        </w:rPr>
      </w:pPr>
    </w:p>
    <w:p w:rsidR="00F129DA" w:rsidRPr="00F129DA" w:rsidRDefault="00F129DA" w:rsidP="00F129DA">
      <w:pPr>
        <w:jc w:val="both"/>
        <w:rPr>
          <w:rFonts w:ascii="Times New Roman" w:hAnsi="Times New Roman" w:cs="Times New Roman"/>
          <w:sz w:val="24"/>
        </w:rPr>
      </w:pPr>
    </w:p>
    <w:p w:rsidR="00C10D2C" w:rsidRPr="00F129DA" w:rsidRDefault="00C10D2C" w:rsidP="00F129DA">
      <w:pPr>
        <w:jc w:val="both"/>
        <w:rPr>
          <w:rFonts w:ascii="Times New Roman" w:hAnsi="Times New Roman" w:cs="Times New Roman"/>
          <w:sz w:val="24"/>
        </w:rPr>
      </w:pPr>
    </w:p>
    <w:sectPr w:rsidR="00C10D2C" w:rsidRPr="00F129DA" w:rsidSect="00F129DA">
      <w:pgSz w:w="12240" w:h="15840"/>
      <w:pgMar w:top="1418" w:right="1134" w:bottom="147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F129DA"/>
    <w:rsid w:val="00306814"/>
    <w:rsid w:val="00495494"/>
    <w:rsid w:val="004F7ED7"/>
    <w:rsid w:val="006D282B"/>
    <w:rsid w:val="007A1338"/>
    <w:rsid w:val="00C10D2C"/>
    <w:rsid w:val="00EF2107"/>
    <w:rsid w:val="00F12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9DA"/>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29D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autoRedefine/>
    <w:semiHidden/>
    <w:rsid w:val="00F129DA"/>
    <w:pPr>
      <w:spacing w:before="120" w:after="120" w:line="312" w:lineRule="auto"/>
    </w:pPr>
    <w:rPr>
      <w:rFonts w:ascii="Times New Roman" w:hAnsi="Times New Roman" w:cs="Times New Roman"/>
      <w:sz w:val="28"/>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737</Words>
  <Characters>4205</Characters>
  <Application>Microsoft Office Word</Application>
  <DocSecurity>0</DocSecurity>
  <Lines>35</Lines>
  <Paragraphs>9</Paragraphs>
  <ScaleCrop>false</ScaleCrop>
  <Company/>
  <LinksUpToDate>false</LinksUpToDate>
  <CharactersWithSpaces>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2</cp:revision>
  <dcterms:created xsi:type="dcterms:W3CDTF">2014-03-14T03:44:00Z</dcterms:created>
  <dcterms:modified xsi:type="dcterms:W3CDTF">2014-03-14T07:12:00Z</dcterms:modified>
</cp:coreProperties>
</file>